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ixtisaslaşdırılmış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əsasnamə</w:t>
      </w:r>
      <w:proofErr w:type="spellEnd"/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nazirliyinin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10.11.98-ci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tarixli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742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saylı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əmri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təsdiq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olunmuş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ixtisaslaşdırılmış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əsasnamə</w:t>
      </w:r>
      <w:proofErr w:type="spellEnd"/>
      <w:proofErr w:type="gramEnd"/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ixtisaslaşdırılmış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şuraların</w:t>
      </w:r>
      <w:proofErr w:type="spellEnd"/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yaradılması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fəaliyyətinin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təşkili</w:t>
      </w:r>
      <w:proofErr w:type="spellEnd"/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ixtisaslaşdırılmış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bundan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çoxpilləli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sisteminin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ikinci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pilləsində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məzunların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yekun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buraxılış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attestasiyasını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həyata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keçirir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hazırlığını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həyata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keçirən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müəssisələrində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müvafiq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fakültə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dekanının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vəsatəti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rektorun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əmri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ayrı-ayrı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istiqamətlər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təqvim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müddətinə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yaradılır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1.2.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Şuraların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tərkibinə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uyğun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fakültənin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dekanı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müvafiq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kafedraların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müdirləei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həmin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sahə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dərəcə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aparıcı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doktorları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namizədləri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daxil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edilirlər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üzvlərinin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7-11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nəfər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müvafiq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sahəsi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yüksək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nüfuza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müvafiq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məktəbə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alimlər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içərisindən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Nazirliyi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tərəfindən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təyin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müavini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katibi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tərkibi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məktəbin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rektorunun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əmri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təyin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olunur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tərkibi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müəyyənləşdirilərkən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aşağıdakı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tələblərə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riayət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olunmalıdır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neçə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ixtisaslaşma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dissertasiyalara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baxılarsa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tərkibinə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İxtisaslaşma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azı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nəfər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mütəxəssis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daxil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olmalıdır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Mütəxəssisin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daxil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edilməsi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razılığı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lazımdır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əlavə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2);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- Bu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4-dən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çox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ixtisaslaşma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bilməz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Təqvim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ərzində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dəyişilməsi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müəssisəsinin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təqdimatı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Nazirliyi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tərəfindən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həyata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keçirilir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Vəsatətdə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dəyişmənin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zəruriliyi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əsaslandırılır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üzvlərinin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dəyişdirilməsi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uyğun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fakültənin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əsaslandırılmış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vəsatəti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müəssisəsinin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rəhbəri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tərəfindən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aparılır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1.5.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hərtərəfli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baxılmasını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barəsində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əsaslandırılmış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qərar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çıxarılmasını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təmin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etmək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məqsədilə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müvafiq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fakültələrdən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lazımi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materialları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tələb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aşkarlıq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şəraitində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işləyir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fəaliyyəti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barədə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uyğun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kafedravə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fakültənin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kollektivinə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ətraflı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məlumat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1.6.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davam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10-dək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1.7.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yanvar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ayının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15-dək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ötən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ərzində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görülmüş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müəssisəsi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rəhbərliyinə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hesabat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təqdim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etməlidir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1.8.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yaradılmış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ixtisaslaşmış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fəaliyyəti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nazirlər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kabinetinin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17.02.1994-cü </w:t>
      </w:r>
      <w:proofErr w:type="spellStart"/>
      <w:proofErr w:type="gram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tarixdə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təsdiq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etdiyi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“professor-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müəllim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heyətinin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tədris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üçün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vaxt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normasının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müəyyənləşdirilməsi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elmi-tədqiqat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elmi-metodik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digər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işlərin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növləri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barədə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müəyyənləşdirilir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iclaslarının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aparılması</w:t>
      </w:r>
      <w:proofErr w:type="spellEnd"/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iclasları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müavini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tərəfindən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aparılır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dissertasiyası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rəhbər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məsləhətçi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iclasına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sadrlik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bilməz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onun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müavini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iştirak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etmədikdə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təxirə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salınır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təhsil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müəssisəsinin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rəhbəri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üzvlərindən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birini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müvəqqəti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olaraq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sadr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müavini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təyin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katibi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iştirak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etmədikdə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vəzifəni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müvəqqəti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olaraq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üzvlərindən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həvalə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açılışı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zamanı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iştiraketmə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vərəqəsi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əsasında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yetərsay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(2/3)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məlumat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üzvlərinin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iştirakı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onların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vədərəcəsi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göstərilməklə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protokolunda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əks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olunmalı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imzası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təsdiq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edilməlidir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əlavə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3).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İclasın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açılışından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sədr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növbə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iləiclasda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müdafiəyə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təqdim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olunmuş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magistrant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katib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isə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sənədlərinin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tərtibi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onların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qəbul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olunması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məlumat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Magistrant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mahiyyəti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aldığı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nəticələr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haqqında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dəqiqədən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çox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olmayan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vaxt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ərzində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məruzə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edir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suallar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İddiaçının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cavablarından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elmi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rəhbərə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məsləhətçiyə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üzrə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daxil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olmuş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rəylər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oxunur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Rəylər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oxunduqdan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magistrant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onlardakı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iradlara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cavab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3A6C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olunan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işlərinə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qiymət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verilməsi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iclasın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sonunda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şura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üzvlərinin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açıq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səsverməsi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yolu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ilə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həyata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keçirilir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40B8" w:rsidRPr="00ED3A6C" w:rsidRDefault="00ED3A6C" w:rsidP="00ED3A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Səsvermənin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nəticəsindən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asılı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olaraq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dissertasiyanın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müdafiəsinə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magistr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dərəcəsi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verilib-verilməməsi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qərarı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qəbul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3A6C">
        <w:rPr>
          <w:rFonts w:ascii="Times New Roman" w:hAnsi="Times New Roman" w:cs="Times New Roman"/>
          <w:sz w:val="24"/>
          <w:szCs w:val="24"/>
          <w:lang w:val="en-US"/>
        </w:rPr>
        <w:t>olunur</w:t>
      </w:r>
      <w:proofErr w:type="spellEnd"/>
      <w:r w:rsidRPr="00ED3A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840B8" w:rsidRPr="00ED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9"/>
    <w:rsid w:val="005840B8"/>
    <w:rsid w:val="006E4BD9"/>
    <w:rsid w:val="00871E8D"/>
    <w:rsid w:val="00E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A41B-B0C2-4E58-83BF-5900CB4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Gunel Alekberova</dc:creator>
  <cp:keywords/>
  <dc:description/>
  <cp:lastModifiedBy>Leyla Salayeva</cp:lastModifiedBy>
  <cp:revision>2</cp:revision>
  <dcterms:created xsi:type="dcterms:W3CDTF">2016-03-02T07:38:00Z</dcterms:created>
  <dcterms:modified xsi:type="dcterms:W3CDTF">2016-03-02T07:38:00Z</dcterms:modified>
</cp:coreProperties>
</file>