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58" w:rsidRDefault="00521B58">
      <w:bookmarkStart w:id="0" w:name="_GoBack"/>
      <w:bookmarkEnd w:id="0"/>
    </w:p>
    <w:p w:rsidR="00521B58" w:rsidRDefault="00521B58"/>
    <w:p w:rsidR="00BD0930" w:rsidRDefault="00BD0930"/>
    <w:p w:rsidR="00521B58" w:rsidRPr="00521B58" w:rsidRDefault="00521B58" w:rsidP="00521B58">
      <w:pP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>Akademik dürüstlüyün təminatı üzrə sorğu vərəqəsi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10"/>
      </w:tblGrid>
      <w:tr w:rsidR="00521B58" w:rsidTr="00521B58">
        <w:tc>
          <w:tcPr>
            <w:tcW w:w="43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Ali təhsil müəssisəsinin adı</w:t>
            </w:r>
          </w:p>
        </w:tc>
        <w:tc>
          <w:tcPr>
            <w:tcW w:w="52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B84EAB" w:rsidRDefault="00521B58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  <w:r w:rsidR="00B84E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Xəzər Universiteti</w:t>
            </w:r>
          </w:p>
        </w:tc>
      </w:tr>
      <w:tr w:rsidR="00521B58" w:rsidTr="00521B58"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521B58" w:rsidRDefault="00521B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Antiplagiat sistemi istifadə edilirmi (hə\yox)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521B58" w:rsidRDefault="00521B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Bəli</w:t>
            </w:r>
          </w:p>
        </w:tc>
      </w:tr>
      <w:tr w:rsidR="00521B58" w:rsidTr="00521B58"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Edilirsə, adı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 w:rsidP="00B84EA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B84EAB"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StrikePlagiarism.com</w:t>
            </w:r>
            <w:r w:rsid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B84EAB"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Plagscan.com  </w:t>
            </w:r>
          </w:p>
        </w:tc>
      </w:tr>
      <w:tr w:rsidR="00521B58" w:rsidTr="00521B58"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Edilirsə, dəstək göstərən şirkət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B84EAB"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Plagiat.pl Sp. z o.o.   (Polşa)</w:t>
            </w:r>
            <w:r w:rsid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B84EAB"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PlagScan GmbH</w:t>
            </w:r>
            <w:r w:rsid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(Almaniya)</w:t>
            </w:r>
          </w:p>
        </w:tc>
      </w:tr>
      <w:tr w:rsidR="00521B58" w:rsidTr="00521B58">
        <w:trPr>
          <w:trHeight w:val="344"/>
        </w:trPr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521B58" w:rsidRDefault="00521B5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Buraxılış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elmi işlərin elektron arxivləşdirmə sistemindən istifadə edilirmi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521B58" w:rsidRDefault="00521B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0012C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Bəli </w:t>
            </w:r>
          </w:p>
        </w:tc>
      </w:tr>
      <w:tr w:rsidR="00521B58" w:rsidTr="00521B58">
        <w:trPr>
          <w:trHeight w:val="518"/>
        </w:trPr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Edilirsə, adı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0012C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dSpace</w:t>
            </w:r>
            <w:r w:rsidR="003342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521B58" w:rsidRPr="001802C8" w:rsidTr="00521B58">
        <w:trPr>
          <w:trHeight w:val="674"/>
        </w:trPr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Edilirsə, dəstək göstərən şirkət</w:t>
            </w:r>
          </w:p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r w:rsidR="0083341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521B58" w:rsidRDefault="00521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  <w:hyperlink r:id="rId7" w:history="1">
              <w:r w:rsidR="004F76D7" w:rsidRPr="00560D3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az-Latn-AZ"/>
                </w:rPr>
                <w:t>http://library.khazar.org/</w:t>
              </w:r>
            </w:hyperlink>
            <w:r w:rsidR="004F76D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334248" w:rsidRDefault="00334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C4040D" w:rsidRDefault="00E67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hyperlink r:id="rId8" w:history="1">
              <w:r w:rsidR="00334248" w:rsidRPr="00560D36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az-Latn-AZ"/>
                </w:rPr>
                <w:t>http://dspace.khazar.org/jspui/</w:t>
              </w:r>
            </w:hyperlink>
            <w:r w:rsidR="003342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C4040D" w:rsidRPr="00334248" w:rsidRDefault="00C4040D">
            <w:pPr>
              <w:spacing w:after="0" w:line="240" w:lineRule="auto"/>
              <w:rPr>
                <w:lang w:val="az-Latn-AZ"/>
              </w:rPr>
            </w:pPr>
          </w:p>
        </w:tc>
      </w:tr>
      <w:tr w:rsidR="00521B58" w:rsidRPr="001802C8" w:rsidTr="00521B58">
        <w:trPr>
          <w:trHeight w:val="586"/>
        </w:trPr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ATM-də akademik dürüstlüyün təminatı üzrə prosedurların təsviri</w:t>
            </w: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</w:p>
          <w:p w:rsidR="00C4040D" w:rsidRPr="001802C8" w:rsidRDefault="00C404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521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  <w:p w:rsidR="00B84EAB" w:rsidRDefault="00B8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Bakalavr, magistr </w:t>
            </w:r>
            <w:r w:rsidR="00400C4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və doktroluq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işləri </w:t>
            </w:r>
            <w:r w:rsidR="00400C4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Magistratura, Doktorantura və Elmi İşlər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şöbə</w:t>
            </w:r>
            <w:r w:rsidR="00400C4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sinə daxil olarkə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 ilkin olaraq onun plag</w:t>
            </w:r>
            <w:r w:rsidR="00400C4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iatdan azad (plagiat free) olunması ilə bağlı bir sıra tədbirlər həyata keçirilir:</w:t>
            </w:r>
          </w:p>
          <w:p w:rsidR="00B84EAB" w:rsidRDefault="00B84EAB" w:rsidP="00B84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</w:t>
            </w:r>
            <w:r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ciddi plag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iat varsa, həmin </w:t>
            </w:r>
            <w:r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işin ləğv olunması haqqında rəhbərliyə təqdimat yazılıb lə</w:t>
            </w:r>
            <w:r w:rsidR="00AD167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ğv ed</w:t>
            </w:r>
            <w:r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ilir və 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“academic dishonesty” </w:t>
            </w:r>
            <w:r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tədbirləri görülür. </w:t>
            </w:r>
          </w:p>
          <w:p w:rsidR="00B84EAB" w:rsidRDefault="00B84EAB" w:rsidP="00B84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Əgər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məqalə, tezis və ya dissertasiya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4C665E" w:rsidRPr="00B84EA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texniki 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cəhətdən düzgün qurulmayıbsa, 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buna dair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müəlliflə söhbətlə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aparılır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və iş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düzəlişlər edilmək üçün departamentə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müəllifə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geri göndərilir. </w:t>
            </w:r>
          </w:p>
          <w:p w:rsidR="00470C52" w:rsidRDefault="00E70411" w:rsidP="00B84E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Aparılmı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 təhlillərdən sonra əgə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kompüter antiplag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iarizm 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yoxlamasından sonra məqalə, tezis və ya dissertasiya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heç bir plaqiat olmadığı aşkar edilirsə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ona dair elmi işlər bölməsi rəsmi məlumat yazır, imza və möhürlə təsdiq edərək növbəti prosedurlar üçün buraxılışını məqbul sayır. </w:t>
            </w:r>
          </w:p>
          <w:p w:rsidR="00470C52" w:rsidRDefault="00470C52" w:rsidP="00470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iata qarşı görülmüş 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mübarizə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tədbirlər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çərçivəsində  aşağıdakı tədbirlər həyata keçirilmişdir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:</w:t>
            </w:r>
          </w:p>
          <w:p w:rsidR="00470C52" w:rsidRDefault="00470C52" w:rsidP="00470C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iata qarşı çox məşhur proqram saytlar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ı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nın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inzibati 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əməliyyat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heyəti ilə video konfranslar keçirilmişdir.</w:t>
            </w:r>
          </w:p>
          <w:p w:rsidR="00470C52" w:rsidRDefault="00470C52" w:rsidP="00470C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iata qarşı mübarizə</w:t>
            </w:r>
            <w:r w:rsidR="004C665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də “0” (sıfır) tolerantlıq təmin edilmişdir; bu haqda müvafiq qurumlarla söhbət və təlimlər aparılmışdır</w:t>
            </w:r>
            <w:r w:rsidR="008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ələbələr və akademik heyətlə </w:t>
            </w:r>
            <w:r w:rsidR="008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birgə davamlı olaraq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təlimlə</w:t>
            </w:r>
            <w:r w:rsidR="008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 keçirilir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və bu proses müntəzəm olaraq hər il davam etdirilir. </w:t>
            </w:r>
          </w:p>
          <w:p w:rsidR="001802C8" w:rsidRDefault="001802C8" w:rsidP="001802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802C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 noyabr 2013-cü ildən etibarən Xəzər Universitetinin Siyasi elm və beynəlxalq münasibətlər departamenti plagiat əleyhinə mübarizə aparmaq və akademik dürüstlüyü təmin etmə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 üçün plag</w:t>
            </w:r>
            <w:r w:rsidRPr="001802C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 əleyhinə ixtisaslaşmış məşhur “Turnitin” şirkətinin proqramından sınaq məqsədilə istifadə etməyə başlamışdır</w:t>
            </w:r>
          </w:p>
          <w:p w:rsidR="001802C8" w:rsidRPr="00470C52" w:rsidRDefault="001802C8" w:rsidP="001802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802C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 yanvar 2014-cü ildə Siyasi elm və beynəlxalq münasibətlər departamentinin müdiri Muxtar Hacızadə və “Turnitin” şirkətinin meneceri Marketa Vagnerova təfərindən universitet əmə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kdaşları üçün plag</w:t>
            </w:r>
            <w:r w:rsidRPr="001802C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 ilə mübarizə haqqında və proqramdan istifadə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qay</w:t>
            </w:r>
            <w:r w:rsidRPr="001802C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daları barədə treyninq keçirilmişdir</w:t>
            </w:r>
          </w:p>
          <w:p w:rsidR="00521B58" w:rsidRPr="00B84EAB" w:rsidRDefault="00521B58">
            <w:pPr>
              <w:spacing w:after="0" w:line="240" w:lineRule="auto"/>
              <w:rPr>
                <w:lang w:val="az-Latn-AZ"/>
              </w:rPr>
            </w:pPr>
          </w:p>
        </w:tc>
      </w:tr>
      <w:tr w:rsidR="00521B58" w:rsidRPr="001802C8" w:rsidTr="00521B58">
        <w:trPr>
          <w:trHeight w:val="468"/>
        </w:trPr>
        <w:tc>
          <w:tcPr>
            <w:tcW w:w="4361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Pr="00334248" w:rsidRDefault="00521B58">
            <w:pPr>
              <w:spacing w:after="0" w:line="240" w:lineRule="auto"/>
              <w:rPr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lastRenderedPageBreak/>
              <w:t>Akademik dürüstlüyün təminatının təşkili üzrə təkliflər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B58" w:rsidRDefault="00470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İngiliscə, Rusca və digər dillərdə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antiplag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 proqramlarının çoxluğuna baxmayaraq, Azərbaycan dilində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olan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mətnlə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rin antiplag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iat proqramları məhdud saydadır. 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Odur ki, təklif edirik ki,</w:t>
            </w:r>
          </w:p>
          <w:p w:rsidR="00470C52" w:rsidRDefault="00451A14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ərcümə edilərək müxtəlif dillərdən dilimizə çevrilən mətnlə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rin plag</w:t>
            </w:r>
            <w:r w:rsidR="00470C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iatını aşkarlamaq üçün xüsusi proqramlar hazırlansın.</w:t>
            </w:r>
          </w:p>
          <w:p w:rsidR="00470C52" w:rsidRDefault="00470C52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Bütün ali məktəblə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rin, bakalavr,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magistr 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və doktorluq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işlə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rinin 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 yoxlanması siste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mli xarakter alsın. Bunun üçün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doktorluq və namizədlik işlərinin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hətta ilkin mərhələdə adlarının belə koordinasiya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olunması 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tələ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b olunduğu halda, 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magistr işlərinin respublika ali məktəbləri və təhsil ocaqları səviyyəsində mövzularının və məzmunlarının yoxlanması, onların üst-üstə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düşüb-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düşməməsi, bir universitetdə eyni işin tə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krar yazılmaması üçün, heç bir təsirli sistem və ya tədbir mövcud deyildir. Belə bir </w:t>
            </w:r>
            <w:r w:rsidR="00E7041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vahid qur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mun yaradılması vacibdir. 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2C35FE" w:rsidRDefault="002C35FE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Yaxşı olar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dı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ki, Təhsil Nazirliyi respublikanın ali məktəbləri üçün özü server olmaqla güzəştli əsaslarla işlə</w:t>
            </w:r>
            <w:r w:rsidR="000A20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 antiplag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iat proqramlarının alınmasını maliyyələşdirsin və ali məktəblərin bu proqramlara daha güzəştli şərtlərlə qoşulmasını təmin etsin.</w:t>
            </w:r>
          </w:p>
          <w:p w:rsidR="002C35FE" w:rsidRDefault="000A20C4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Plag</w:t>
            </w:r>
            <w:r w:rsidR="002C35F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iarizmə qarşı mübarizə haqqında respublika səviyyəsində konfransların, simpoziumların, təlimlərin və s. keçirilməsi təmin olunsun.</w:t>
            </w:r>
          </w:p>
          <w:p w:rsidR="002C35FE" w:rsidRDefault="002C35FE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Bu sahədə təlimçi qrupunun hazırlanması layihəsi hazırlansın (A pool of trainers + training of trainers)</w:t>
            </w:r>
          </w:p>
          <w:p w:rsidR="002C35FE" w:rsidRDefault="002C35FE" w:rsidP="00470C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 xml:space="preserve">Bu sahədə Avropa təcrübəsinin öyrənilməsi üçün özəl və dövlət ali məktəblərinin (seçmə yolla) nümayəndələrinin İngiltərə, Polşa və </w:t>
            </w:r>
            <w:r w:rsidR="00451A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ya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Amerikada təlim təcrübəsi keçməsi və </w:t>
            </w:r>
            <w:r w:rsidR="00ED3B5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sonradan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həmin təcrübə</w:t>
            </w:r>
            <w:r w:rsidR="00ED3B5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nin milli sərvətə çevrilməsi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təmin edilsin.</w:t>
            </w:r>
          </w:p>
          <w:p w:rsidR="00C4040D" w:rsidRDefault="00C40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521B58" w:rsidRPr="00470C52" w:rsidRDefault="00521B58">
            <w:pPr>
              <w:spacing w:after="0" w:line="240" w:lineRule="auto"/>
              <w:rPr>
                <w:lang w:val="az-Latn-AZ"/>
              </w:rPr>
            </w:pPr>
          </w:p>
        </w:tc>
      </w:tr>
    </w:tbl>
    <w:p w:rsidR="00521B58" w:rsidRPr="00470C52" w:rsidRDefault="00521B58">
      <w:pPr>
        <w:rPr>
          <w:lang w:val="az-Latn-AZ"/>
        </w:rPr>
      </w:pPr>
    </w:p>
    <w:sectPr w:rsidR="00521B58" w:rsidRPr="00470C52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C0" w:rsidRDefault="00E672C0" w:rsidP="005536C1">
      <w:pPr>
        <w:spacing w:after="0" w:line="240" w:lineRule="auto"/>
      </w:pPr>
      <w:r>
        <w:separator/>
      </w:r>
    </w:p>
  </w:endnote>
  <w:endnote w:type="continuationSeparator" w:id="0">
    <w:p w:rsidR="00E672C0" w:rsidRDefault="00E672C0" w:rsidP="0055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C0" w:rsidRDefault="00E672C0" w:rsidP="005536C1">
      <w:pPr>
        <w:spacing w:after="0" w:line="240" w:lineRule="auto"/>
      </w:pPr>
      <w:r>
        <w:separator/>
      </w:r>
    </w:p>
  </w:footnote>
  <w:footnote w:type="continuationSeparator" w:id="0">
    <w:p w:rsidR="00E672C0" w:rsidRDefault="00E672C0" w:rsidP="0055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82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1353" w:rsidRDefault="008D13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353" w:rsidRDefault="008D1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23D"/>
    <w:multiLevelType w:val="hybridMultilevel"/>
    <w:tmpl w:val="82EC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77DC"/>
    <w:multiLevelType w:val="hybridMultilevel"/>
    <w:tmpl w:val="2BCE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33D0"/>
    <w:multiLevelType w:val="hybridMultilevel"/>
    <w:tmpl w:val="FA08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8"/>
    <w:rsid w:val="000012CD"/>
    <w:rsid w:val="000714BA"/>
    <w:rsid w:val="000A20C4"/>
    <w:rsid w:val="000D293B"/>
    <w:rsid w:val="001802C8"/>
    <w:rsid w:val="00231EC0"/>
    <w:rsid w:val="002C35FE"/>
    <w:rsid w:val="00334248"/>
    <w:rsid w:val="00340D6F"/>
    <w:rsid w:val="00400C4C"/>
    <w:rsid w:val="00451A14"/>
    <w:rsid w:val="00470C52"/>
    <w:rsid w:val="004C665E"/>
    <w:rsid w:val="004E6A9F"/>
    <w:rsid w:val="004F76D7"/>
    <w:rsid w:val="00521B58"/>
    <w:rsid w:val="005536C1"/>
    <w:rsid w:val="006702D1"/>
    <w:rsid w:val="006D1372"/>
    <w:rsid w:val="00833416"/>
    <w:rsid w:val="00843726"/>
    <w:rsid w:val="008D1353"/>
    <w:rsid w:val="009D0845"/>
    <w:rsid w:val="00AD167B"/>
    <w:rsid w:val="00B84EAB"/>
    <w:rsid w:val="00BD0930"/>
    <w:rsid w:val="00BF1DAF"/>
    <w:rsid w:val="00C4040D"/>
    <w:rsid w:val="00E672C0"/>
    <w:rsid w:val="00E70411"/>
    <w:rsid w:val="00EC01C0"/>
    <w:rsid w:val="00ED3B5B"/>
    <w:rsid w:val="00F37295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B637-254F-4D10-8AF2-93952077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C1"/>
  </w:style>
  <w:style w:type="paragraph" w:styleId="Footer">
    <w:name w:val="footer"/>
    <w:basedOn w:val="Normal"/>
    <w:link w:val="FooterChar"/>
    <w:uiPriority w:val="99"/>
    <w:unhideWhenUsed/>
    <w:rsid w:val="00553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hazar.org/jsp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khaza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Shahgaldiyev</dc:creator>
  <cp:keywords/>
  <dc:description/>
  <cp:lastModifiedBy>Leyla Salayeva</cp:lastModifiedBy>
  <cp:revision>2</cp:revision>
  <cp:lastPrinted>2015-10-12T12:28:00Z</cp:lastPrinted>
  <dcterms:created xsi:type="dcterms:W3CDTF">2016-03-03T08:07:00Z</dcterms:created>
  <dcterms:modified xsi:type="dcterms:W3CDTF">2016-03-03T08:07:00Z</dcterms:modified>
</cp:coreProperties>
</file>